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6E3" w:rsidRDefault="003076E3" w:rsidP="003076E3">
      <w:pPr>
        <w:pStyle w:val="NormaleWeb"/>
        <w:jc w:val="center"/>
        <w:rPr>
          <w:rFonts w:ascii="Calibri" w:hAnsi="Calibri"/>
          <w:b/>
          <w:bCs/>
          <w:color w:val="212121"/>
          <w:sz w:val="20"/>
          <w:szCs w:val="20"/>
        </w:rPr>
      </w:pPr>
      <w:r>
        <w:rPr>
          <w:rFonts w:ascii="Calibri" w:hAnsi="Calibri"/>
          <w:b/>
          <w:bCs/>
          <w:noProof/>
          <w:color w:val="212121"/>
          <w:sz w:val="20"/>
          <w:szCs w:val="20"/>
        </w:rPr>
        <w:drawing>
          <wp:inline distT="0" distB="0" distL="0" distR="0">
            <wp:extent cx="1219200" cy="504825"/>
            <wp:effectExtent l="0" t="0" r="0" b="9525"/>
            <wp:docPr id="1" name="Immagine 1" descr="cid:image001.png@01D256F8.0F2D2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cid:image001.png@01D256F8.0F2D226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6E3" w:rsidRDefault="003076E3" w:rsidP="003076E3">
      <w:pPr>
        <w:pStyle w:val="NormaleWeb"/>
        <w:jc w:val="center"/>
        <w:rPr>
          <w:rFonts w:ascii="Trebuchet MS" w:hAnsi="Trebuchet MS"/>
          <w:b/>
          <w:bCs/>
          <w:color w:val="212121"/>
          <w:sz w:val="20"/>
          <w:szCs w:val="20"/>
        </w:rPr>
      </w:pPr>
    </w:p>
    <w:p w:rsidR="003076E3" w:rsidRDefault="003076E3" w:rsidP="003076E3">
      <w:pPr>
        <w:pStyle w:val="NormaleWeb"/>
        <w:jc w:val="center"/>
        <w:rPr>
          <w:rFonts w:ascii="Trebuchet MS" w:hAnsi="Trebuchet MS"/>
          <w:b/>
          <w:bCs/>
          <w:color w:val="212121"/>
          <w:sz w:val="20"/>
          <w:szCs w:val="20"/>
        </w:rPr>
      </w:pPr>
      <w:r>
        <w:rPr>
          <w:rFonts w:ascii="Trebuchet MS" w:hAnsi="Trebuchet MS"/>
          <w:b/>
          <w:bCs/>
          <w:color w:val="212121"/>
          <w:sz w:val="20"/>
          <w:szCs w:val="20"/>
        </w:rPr>
        <w:t>FeBAF: Campanello d’allarme sugli investimenti in Europa</w:t>
      </w:r>
    </w:p>
    <w:p w:rsidR="003076E3" w:rsidRDefault="003076E3" w:rsidP="003076E3">
      <w:pPr>
        <w:pStyle w:val="NormaleWeb"/>
        <w:jc w:val="center"/>
        <w:rPr>
          <w:rFonts w:ascii="Trebuchet MS" w:hAnsi="Trebuchet MS"/>
          <w:b/>
          <w:bCs/>
          <w:color w:val="212121"/>
          <w:sz w:val="20"/>
          <w:szCs w:val="20"/>
        </w:rPr>
      </w:pPr>
      <w:r>
        <w:rPr>
          <w:rFonts w:ascii="Trebuchet MS" w:hAnsi="Trebuchet MS"/>
          <w:b/>
          <w:bCs/>
          <w:color w:val="212121"/>
          <w:sz w:val="20"/>
          <w:szCs w:val="20"/>
        </w:rPr>
        <w:t xml:space="preserve">Da domani il Rome </w:t>
      </w:r>
      <w:proofErr w:type="spellStart"/>
      <w:r>
        <w:rPr>
          <w:rFonts w:ascii="Trebuchet MS" w:hAnsi="Trebuchet MS"/>
          <w:b/>
          <w:bCs/>
          <w:color w:val="212121"/>
          <w:sz w:val="20"/>
          <w:szCs w:val="20"/>
        </w:rPr>
        <w:t>Investment</w:t>
      </w:r>
      <w:proofErr w:type="spellEnd"/>
      <w:r>
        <w:rPr>
          <w:rFonts w:ascii="Trebuchet MS" w:hAnsi="Trebuchet MS"/>
          <w:b/>
          <w:bCs/>
          <w:color w:val="212121"/>
          <w:sz w:val="20"/>
          <w:szCs w:val="20"/>
        </w:rPr>
        <w:t xml:space="preserve"> Forum 2016, </w:t>
      </w:r>
      <w:proofErr w:type="spellStart"/>
      <w:r>
        <w:rPr>
          <w:rFonts w:ascii="Trebuchet MS" w:hAnsi="Trebuchet MS"/>
          <w:b/>
          <w:bCs/>
          <w:color w:val="212121"/>
          <w:sz w:val="20"/>
          <w:szCs w:val="20"/>
        </w:rPr>
        <w:t>Financing</w:t>
      </w:r>
      <w:proofErr w:type="spellEnd"/>
      <w:r>
        <w:rPr>
          <w:rFonts w:ascii="Trebuchet MS" w:hAnsi="Trebuchet MS"/>
          <w:b/>
          <w:bCs/>
          <w:color w:val="212121"/>
          <w:sz w:val="20"/>
          <w:szCs w:val="20"/>
        </w:rPr>
        <w:t xml:space="preserve"> Long-</w:t>
      </w:r>
      <w:proofErr w:type="spellStart"/>
      <w:r>
        <w:rPr>
          <w:rFonts w:ascii="Trebuchet MS" w:hAnsi="Trebuchet MS"/>
          <w:b/>
          <w:bCs/>
          <w:color w:val="212121"/>
          <w:sz w:val="20"/>
          <w:szCs w:val="20"/>
        </w:rPr>
        <w:t>term</w:t>
      </w:r>
      <w:proofErr w:type="spellEnd"/>
      <w:r>
        <w:rPr>
          <w:rFonts w:ascii="Trebuchet MS" w:hAnsi="Trebuchet MS"/>
          <w:b/>
          <w:bCs/>
          <w:color w:val="212121"/>
          <w:sz w:val="20"/>
          <w:szCs w:val="20"/>
        </w:rPr>
        <w:t xml:space="preserve"> Europe </w:t>
      </w:r>
    </w:p>
    <w:p w:rsidR="003076E3" w:rsidRDefault="003076E3" w:rsidP="003076E3">
      <w:pPr>
        <w:pStyle w:val="NormaleWeb"/>
        <w:jc w:val="center"/>
        <w:rPr>
          <w:rFonts w:ascii="Trebuchet MS" w:hAnsi="Trebuchet MS"/>
          <w:b/>
          <w:bCs/>
          <w:color w:val="212121"/>
          <w:sz w:val="20"/>
          <w:szCs w:val="20"/>
        </w:rPr>
      </w:pPr>
    </w:p>
    <w:p w:rsidR="003076E3" w:rsidRDefault="003076E3" w:rsidP="003076E3">
      <w:pPr>
        <w:pStyle w:val="NormaleWeb"/>
        <w:jc w:val="both"/>
        <w:rPr>
          <w:rFonts w:ascii="Trebuchet MS" w:hAnsi="Trebuchet MS"/>
          <w:color w:val="212121"/>
          <w:sz w:val="20"/>
          <w:szCs w:val="20"/>
        </w:rPr>
      </w:pPr>
      <w:r>
        <w:rPr>
          <w:rFonts w:ascii="Trebuchet MS" w:hAnsi="Trebuchet MS"/>
          <w:b/>
          <w:bCs/>
          <w:color w:val="212121"/>
          <w:sz w:val="20"/>
          <w:szCs w:val="20"/>
        </w:rPr>
        <w:t>Roma, 15 dicembre 2016</w:t>
      </w:r>
      <w:r>
        <w:rPr>
          <w:rFonts w:ascii="Trebuchet MS" w:hAnsi="Trebuchet MS"/>
          <w:color w:val="212121"/>
          <w:sz w:val="20"/>
          <w:szCs w:val="20"/>
        </w:rPr>
        <w:t xml:space="preserve"> - Prende avvio domani il Rome </w:t>
      </w:r>
      <w:proofErr w:type="spellStart"/>
      <w:r>
        <w:rPr>
          <w:rFonts w:ascii="Trebuchet MS" w:hAnsi="Trebuchet MS"/>
          <w:color w:val="212121"/>
          <w:sz w:val="20"/>
          <w:szCs w:val="20"/>
        </w:rPr>
        <w:t>Investment</w:t>
      </w:r>
      <w:proofErr w:type="spellEnd"/>
      <w:r>
        <w:rPr>
          <w:rFonts w:ascii="Trebuchet MS" w:hAnsi="Trebuchet MS"/>
          <w:color w:val="212121"/>
          <w:sz w:val="20"/>
          <w:szCs w:val="20"/>
        </w:rPr>
        <w:t xml:space="preserve"> Forum 2016, la “due giorni” della Federazione Banche Assicurazioni e Finanza dedicata agli investimenti in Europa. Tema centrale per ogni politica industriale che abbia come obiettivo la crescita. </w:t>
      </w:r>
    </w:p>
    <w:p w:rsidR="003076E3" w:rsidRDefault="003076E3" w:rsidP="003076E3">
      <w:pPr>
        <w:pStyle w:val="NormaleWeb"/>
        <w:jc w:val="both"/>
        <w:rPr>
          <w:rFonts w:ascii="Trebuchet MS" w:hAnsi="Trebuchet MS"/>
          <w:color w:val="212121"/>
          <w:sz w:val="20"/>
          <w:szCs w:val="20"/>
        </w:rPr>
      </w:pPr>
    </w:p>
    <w:p w:rsidR="003076E3" w:rsidRDefault="003076E3" w:rsidP="003076E3">
      <w:pPr>
        <w:pStyle w:val="NormaleWeb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212121"/>
          <w:sz w:val="20"/>
          <w:szCs w:val="20"/>
        </w:rPr>
        <w:t xml:space="preserve">Nonostante alcuni segnali positivi congiunturali, il livello degli investimenti nell’attuale fase di ripresa dei paesi dell’area Ocse si mantiene di circa 20 punti </w:t>
      </w:r>
      <w:r w:rsidR="007231F1">
        <w:rPr>
          <w:rFonts w:ascii="Trebuchet MS" w:hAnsi="Trebuchet MS"/>
          <w:color w:val="212121"/>
          <w:sz w:val="20"/>
          <w:szCs w:val="20"/>
        </w:rPr>
        <w:t xml:space="preserve">percentuali </w:t>
      </w:r>
      <w:bookmarkStart w:id="0" w:name="_GoBack"/>
      <w:bookmarkEnd w:id="0"/>
      <w:r>
        <w:rPr>
          <w:rFonts w:ascii="Trebuchet MS" w:hAnsi="Trebuchet MS"/>
          <w:color w:val="212121"/>
          <w:sz w:val="20"/>
          <w:szCs w:val="20"/>
        </w:rPr>
        <w:t xml:space="preserve">più basso rispetto a quello dei tre cicli economici precedenti. Il gap degli investimenti ha radici lontane ed è dovuto principalmente a: </w:t>
      </w:r>
    </w:p>
    <w:p w:rsidR="003076E3" w:rsidRDefault="003076E3" w:rsidP="003076E3">
      <w:pPr>
        <w:pStyle w:val="xmsonormal"/>
        <w:jc w:val="both"/>
        <w:rPr>
          <w:rFonts w:ascii="Trebuchet MS" w:hAnsi="Trebuchet MS"/>
          <w:color w:val="212121"/>
          <w:sz w:val="20"/>
          <w:szCs w:val="20"/>
        </w:rPr>
      </w:pPr>
      <w:r>
        <w:rPr>
          <w:rFonts w:ascii="Trebuchet MS" w:hAnsi="Trebuchet MS"/>
          <w:color w:val="212121"/>
          <w:sz w:val="20"/>
          <w:szCs w:val="20"/>
        </w:rPr>
        <w:t xml:space="preserve">1. la crisi economica e finanziaria; 2. </w:t>
      </w:r>
      <w:proofErr w:type="gramStart"/>
      <w:r>
        <w:rPr>
          <w:rFonts w:ascii="Trebuchet MS" w:hAnsi="Trebuchet MS"/>
          <w:color w:val="212121"/>
          <w:sz w:val="20"/>
          <w:szCs w:val="20"/>
        </w:rPr>
        <w:t>una</w:t>
      </w:r>
      <w:proofErr w:type="gramEnd"/>
      <w:r>
        <w:rPr>
          <w:rFonts w:ascii="Trebuchet MS" w:hAnsi="Trebuchet MS"/>
          <w:color w:val="212121"/>
          <w:sz w:val="20"/>
          <w:szCs w:val="20"/>
        </w:rPr>
        <w:t xml:space="preserve"> ripresa timida e incerta; 3. </w:t>
      </w:r>
      <w:proofErr w:type="gramStart"/>
      <w:r>
        <w:rPr>
          <w:rFonts w:ascii="Trebuchet MS" w:hAnsi="Trebuchet MS"/>
          <w:color w:val="212121"/>
          <w:sz w:val="20"/>
          <w:szCs w:val="20"/>
        </w:rPr>
        <w:t>l’aumento</w:t>
      </w:r>
      <w:proofErr w:type="gramEnd"/>
      <w:r>
        <w:rPr>
          <w:rFonts w:ascii="Trebuchet MS" w:hAnsi="Trebuchet MS"/>
          <w:color w:val="212121"/>
          <w:sz w:val="20"/>
          <w:szCs w:val="20"/>
        </w:rPr>
        <w:t xml:space="preserve"> della sfiducia e dell’avversione al rischio, legati soprattutto all'incertezza; 4. </w:t>
      </w:r>
      <w:proofErr w:type="gramStart"/>
      <w:r>
        <w:rPr>
          <w:rFonts w:ascii="Trebuchet MS" w:hAnsi="Trebuchet MS"/>
          <w:color w:val="212121"/>
          <w:sz w:val="20"/>
          <w:szCs w:val="20"/>
        </w:rPr>
        <w:t>le</w:t>
      </w:r>
      <w:proofErr w:type="gramEnd"/>
      <w:r>
        <w:rPr>
          <w:rFonts w:ascii="Trebuchet MS" w:hAnsi="Trebuchet MS"/>
          <w:color w:val="212121"/>
          <w:sz w:val="20"/>
          <w:szCs w:val="20"/>
        </w:rPr>
        <w:t xml:space="preserve"> prospettive di crescita del prossimo decennio rispetto quelli precedenti; 5. </w:t>
      </w:r>
      <w:r w:rsidR="007231F1">
        <w:rPr>
          <w:rFonts w:ascii="Trebuchet MS" w:hAnsi="Trebuchet MS"/>
          <w:color w:val="212121"/>
          <w:sz w:val="20"/>
          <w:szCs w:val="20"/>
        </w:rPr>
        <w:t xml:space="preserve">Il trend della crescita della </w:t>
      </w:r>
      <w:r>
        <w:rPr>
          <w:rFonts w:ascii="Trebuchet MS" w:hAnsi="Trebuchet MS"/>
          <w:color w:val="212121"/>
          <w:sz w:val="20"/>
          <w:szCs w:val="20"/>
        </w:rPr>
        <w:t xml:space="preserve">produttività che si è dimezzata; 6. </w:t>
      </w:r>
      <w:proofErr w:type="gramStart"/>
      <w:r>
        <w:rPr>
          <w:rFonts w:ascii="Trebuchet MS" w:hAnsi="Trebuchet MS"/>
          <w:color w:val="212121"/>
          <w:sz w:val="20"/>
          <w:szCs w:val="20"/>
        </w:rPr>
        <w:t>la</w:t>
      </w:r>
      <w:proofErr w:type="gramEnd"/>
      <w:r>
        <w:rPr>
          <w:rFonts w:ascii="Trebuchet MS" w:hAnsi="Trebuchet MS"/>
          <w:color w:val="212121"/>
          <w:sz w:val="20"/>
          <w:szCs w:val="20"/>
        </w:rPr>
        <w:t xml:space="preserve"> debolezza del commercio internazionale; 7. </w:t>
      </w:r>
      <w:proofErr w:type="gramStart"/>
      <w:r>
        <w:rPr>
          <w:rFonts w:ascii="Trebuchet MS" w:hAnsi="Trebuchet MS"/>
          <w:color w:val="212121"/>
          <w:sz w:val="20"/>
          <w:szCs w:val="20"/>
        </w:rPr>
        <w:t>i</w:t>
      </w:r>
      <w:proofErr w:type="gramEnd"/>
      <w:r>
        <w:rPr>
          <w:rFonts w:ascii="Trebuchet MS" w:hAnsi="Trebuchet MS"/>
          <w:color w:val="212121"/>
          <w:sz w:val="20"/>
          <w:szCs w:val="20"/>
        </w:rPr>
        <w:t xml:space="preserve"> rischi e le incertezze geopolitici.  </w:t>
      </w:r>
    </w:p>
    <w:p w:rsidR="003076E3" w:rsidRDefault="003076E3" w:rsidP="003076E3">
      <w:pPr>
        <w:pStyle w:val="xmsonormal"/>
        <w:jc w:val="both"/>
        <w:rPr>
          <w:rFonts w:ascii="Trebuchet MS" w:hAnsi="Trebuchet MS"/>
          <w:color w:val="212121"/>
          <w:sz w:val="20"/>
          <w:szCs w:val="20"/>
        </w:rPr>
      </w:pPr>
    </w:p>
    <w:p w:rsidR="003076E3" w:rsidRDefault="003076E3" w:rsidP="003076E3">
      <w:pPr>
        <w:pStyle w:val="xmsonormal"/>
        <w:jc w:val="both"/>
        <w:rPr>
          <w:rFonts w:ascii="Trebuchet MS" w:hAnsi="Trebuchet MS"/>
          <w:color w:val="212121"/>
          <w:sz w:val="20"/>
          <w:szCs w:val="20"/>
        </w:rPr>
      </w:pPr>
      <w:r>
        <w:rPr>
          <w:rFonts w:ascii="Trebuchet MS" w:hAnsi="Trebuchet MS"/>
          <w:color w:val="212121"/>
          <w:sz w:val="20"/>
          <w:szCs w:val="20"/>
        </w:rPr>
        <w:t xml:space="preserve">Tuttavia questi scenari preoccupanti non sono ineluttabili, anzi. Per questo FeBAF ha ideato il Rome </w:t>
      </w:r>
      <w:proofErr w:type="spellStart"/>
      <w:r>
        <w:rPr>
          <w:rFonts w:ascii="Trebuchet MS" w:hAnsi="Trebuchet MS"/>
          <w:color w:val="212121"/>
          <w:sz w:val="20"/>
          <w:szCs w:val="20"/>
        </w:rPr>
        <w:t>Investment</w:t>
      </w:r>
      <w:proofErr w:type="spellEnd"/>
      <w:r>
        <w:rPr>
          <w:rFonts w:ascii="Trebuchet MS" w:hAnsi="Trebuchet MS"/>
          <w:color w:val="212121"/>
          <w:sz w:val="20"/>
          <w:szCs w:val="20"/>
        </w:rPr>
        <w:t xml:space="preserve"> Forum, </w:t>
      </w:r>
      <w:proofErr w:type="spellStart"/>
      <w:r>
        <w:rPr>
          <w:rFonts w:ascii="Trebuchet MS" w:hAnsi="Trebuchet MS"/>
          <w:color w:val="212121"/>
          <w:sz w:val="20"/>
          <w:szCs w:val="20"/>
        </w:rPr>
        <w:t>Financing</w:t>
      </w:r>
      <w:proofErr w:type="spellEnd"/>
      <w:r>
        <w:rPr>
          <w:rFonts w:ascii="Trebuchet MS" w:hAnsi="Trebuchet MS"/>
          <w:color w:val="212121"/>
          <w:sz w:val="20"/>
          <w:szCs w:val="20"/>
        </w:rPr>
        <w:t xml:space="preserve"> Long-</w:t>
      </w:r>
      <w:proofErr w:type="spellStart"/>
      <w:r>
        <w:rPr>
          <w:rFonts w:ascii="Trebuchet MS" w:hAnsi="Trebuchet MS"/>
          <w:color w:val="212121"/>
          <w:sz w:val="20"/>
          <w:szCs w:val="20"/>
        </w:rPr>
        <w:t>Term</w:t>
      </w:r>
      <w:proofErr w:type="spellEnd"/>
      <w:r>
        <w:rPr>
          <w:rFonts w:ascii="Trebuchet MS" w:hAnsi="Trebuchet MS"/>
          <w:color w:val="212121"/>
          <w:sz w:val="20"/>
          <w:szCs w:val="20"/>
        </w:rPr>
        <w:t xml:space="preserve"> Europe e lo organizza da tre anni, con l’obiettivo di concorrere, anche col dibattito e le proposte della comunità finanziaria, al rilancio di quegli investimenti a lungo termine necessari a potenziare la crescita.</w:t>
      </w:r>
    </w:p>
    <w:p w:rsidR="003076E3" w:rsidRDefault="003076E3" w:rsidP="003076E3">
      <w:pPr>
        <w:pStyle w:val="xmsonormal"/>
        <w:jc w:val="both"/>
        <w:rPr>
          <w:rFonts w:ascii="Trebuchet MS" w:hAnsi="Trebuchet MS"/>
          <w:color w:val="000000"/>
          <w:sz w:val="20"/>
          <w:szCs w:val="20"/>
        </w:rPr>
      </w:pPr>
    </w:p>
    <w:p w:rsidR="003076E3" w:rsidRDefault="003076E3" w:rsidP="003076E3">
      <w:pPr>
        <w:pStyle w:val="xmsonormal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212121"/>
          <w:sz w:val="20"/>
          <w:szCs w:val="20"/>
        </w:rPr>
        <w:t>I fronti sui quali costruire una risposta credibile sono ricompresi nelle sessioni del Forum.</w:t>
      </w:r>
    </w:p>
    <w:p w:rsidR="003076E3" w:rsidRDefault="003076E3" w:rsidP="003076E3">
      <w:pPr>
        <w:pStyle w:val="xmsonormal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212121"/>
          <w:sz w:val="20"/>
          <w:szCs w:val="20"/>
        </w:rPr>
        <w:t>1.          </w:t>
      </w:r>
      <w:r>
        <w:rPr>
          <w:rFonts w:ascii="Trebuchet MS" w:hAnsi="Trebuchet MS"/>
          <w:color w:val="212121"/>
          <w:sz w:val="20"/>
          <w:szCs w:val="20"/>
          <w:u w:val="single"/>
        </w:rPr>
        <w:t>Europa</w:t>
      </w:r>
      <w:r>
        <w:rPr>
          <w:rFonts w:ascii="Trebuchet MS" w:hAnsi="Trebuchet MS"/>
          <w:color w:val="212121"/>
          <w:sz w:val="20"/>
          <w:szCs w:val="20"/>
        </w:rPr>
        <w:t xml:space="preserve">. Tocca all’Unione Europea tornare ad essere traino dell’economia mondiale, finora sospinta da Usa e paesi emergenti. Come farlo? </w:t>
      </w:r>
      <w:r>
        <w:rPr>
          <w:rFonts w:ascii="Trebuchet MS" w:hAnsi="Trebuchet MS"/>
          <w:color w:val="212121"/>
          <w:sz w:val="20"/>
          <w:szCs w:val="20"/>
          <w:u w:val="single"/>
        </w:rPr>
        <w:t>Riforme</w:t>
      </w:r>
      <w:r>
        <w:rPr>
          <w:rFonts w:ascii="Trebuchet MS" w:hAnsi="Trebuchet MS"/>
          <w:color w:val="212121"/>
          <w:sz w:val="20"/>
          <w:szCs w:val="20"/>
        </w:rPr>
        <w:t xml:space="preserve"> sono necessarie. Certamente servirà completare l’Unione Bancaria, ferma a metà del guado, accelerare l’Unione dei Mercati dei Capitali, realizzare compiutamente l'Unione Economica e Monetaria</w:t>
      </w:r>
    </w:p>
    <w:p w:rsidR="003076E3" w:rsidRDefault="003076E3" w:rsidP="003076E3">
      <w:pPr>
        <w:pStyle w:val="xmsonormal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212121"/>
          <w:sz w:val="20"/>
          <w:szCs w:val="20"/>
        </w:rPr>
        <w:t xml:space="preserve">2.          </w:t>
      </w:r>
      <w:r>
        <w:rPr>
          <w:rFonts w:ascii="Trebuchet MS" w:hAnsi="Trebuchet MS"/>
          <w:color w:val="212121"/>
          <w:sz w:val="20"/>
          <w:szCs w:val="20"/>
          <w:u w:val="single"/>
        </w:rPr>
        <w:t>Innovazione, Infrastrutture</w:t>
      </w:r>
      <w:r>
        <w:rPr>
          <w:rFonts w:ascii="Trebuchet MS" w:hAnsi="Trebuchet MS"/>
          <w:color w:val="212121"/>
          <w:sz w:val="20"/>
          <w:szCs w:val="20"/>
        </w:rPr>
        <w:t xml:space="preserve">. Quale ruolo sta giocando il Piano </w:t>
      </w:r>
      <w:proofErr w:type="spellStart"/>
      <w:r>
        <w:rPr>
          <w:rFonts w:ascii="Trebuchet MS" w:hAnsi="Trebuchet MS"/>
          <w:color w:val="212121"/>
          <w:sz w:val="20"/>
          <w:szCs w:val="20"/>
        </w:rPr>
        <w:t>Juncker</w:t>
      </w:r>
      <w:proofErr w:type="spellEnd"/>
      <w:r>
        <w:rPr>
          <w:rFonts w:ascii="Trebuchet MS" w:hAnsi="Trebuchet MS"/>
          <w:color w:val="212121"/>
          <w:sz w:val="20"/>
          <w:szCs w:val="20"/>
        </w:rPr>
        <w:t>, cosa fare per potenziarlo e cosa possono fare le Banche Nazionali di Sviluppo, con le piattaforme nazionali e inter-settoriali</w:t>
      </w:r>
    </w:p>
    <w:p w:rsidR="003076E3" w:rsidRDefault="003076E3" w:rsidP="003076E3">
      <w:pPr>
        <w:pStyle w:val="xmsonormal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212121"/>
          <w:sz w:val="20"/>
          <w:szCs w:val="20"/>
        </w:rPr>
        <w:t>3.       </w:t>
      </w:r>
      <w:proofErr w:type="gramStart"/>
      <w:r>
        <w:rPr>
          <w:rFonts w:ascii="Trebuchet MS" w:hAnsi="Trebuchet MS"/>
          <w:color w:val="212121"/>
          <w:sz w:val="20"/>
          <w:szCs w:val="20"/>
        </w:rPr>
        <w:t>   “</w:t>
      </w:r>
      <w:proofErr w:type="gramEnd"/>
      <w:r>
        <w:rPr>
          <w:rFonts w:ascii="Trebuchet MS" w:hAnsi="Trebuchet MS"/>
          <w:color w:val="212121"/>
          <w:sz w:val="20"/>
          <w:szCs w:val="20"/>
          <w:u w:val="single"/>
        </w:rPr>
        <w:t>Finanza per la crescita</w:t>
      </w:r>
      <w:r>
        <w:rPr>
          <w:rFonts w:ascii="Trebuchet MS" w:hAnsi="Trebuchet MS"/>
          <w:color w:val="212121"/>
          <w:sz w:val="20"/>
          <w:szCs w:val="20"/>
        </w:rPr>
        <w:t xml:space="preserve">”. Vuol dire modernizzare e riformare i mercati finanziari, renderli mercati “del finanziamento e dell’investimento”. Il che significa: a. riequilibrare debito e </w:t>
      </w:r>
      <w:proofErr w:type="spellStart"/>
      <w:r>
        <w:rPr>
          <w:rFonts w:ascii="Trebuchet MS" w:hAnsi="Trebuchet MS"/>
          <w:color w:val="212121"/>
          <w:sz w:val="20"/>
          <w:szCs w:val="20"/>
        </w:rPr>
        <w:t>equity</w:t>
      </w:r>
      <w:proofErr w:type="spellEnd"/>
      <w:r>
        <w:rPr>
          <w:rFonts w:ascii="Trebuchet MS" w:hAnsi="Trebuchet MS"/>
          <w:color w:val="212121"/>
          <w:sz w:val="20"/>
          <w:szCs w:val="20"/>
        </w:rPr>
        <w:t>; b. Allargare le fonti di finanziamento dalle sole banche al mercato dei capitali; c. spostarsi da un risparmio a breve a investimenti a lungo termine; d. passare da un’economia trainata dalla finanza pubblica ad una partnership pubblico-privato nel finanziamento degli investimenti.</w:t>
      </w:r>
    </w:p>
    <w:p w:rsidR="003076E3" w:rsidRDefault="003076E3" w:rsidP="003076E3">
      <w:pPr>
        <w:pStyle w:val="xmsonormal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212121"/>
          <w:sz w:val="20"/>
          <w:szCs w:val="20"/>
        </w:rPr>
        <w:t>4.          </w:t>
      </w:r>
      <w:r>
        <w:rPr>
          <w:rFonts w:ascii="Trebuchet MS" w:hAnsi="Trebuchet MS"/>
          <w:color w:val="212121"/>
          <w:sz w:val="20"/>
          <w:szCs w:val="20"/>
          <w:u w:val="single"/>
        </w:rPr>
        <w:t>Finanziamento delle piccole e medie imprese</w:t>
      </w:r>
      <w:r>
        <w:rPr>
          <w:rFonts w:ascii="Trebuchet MS" w:hAnsi="Trebuchet MS"/>
          <w:color w:val="212121"/>
          <w:sz w:val="20"/>
          <w:szCs w:val="20"/>
        </w:rPr>
        <w:t xml:space="preserve">. Il quadro </w:t>
      </w:r>
      <w:proofErr w:type="spellStart"/>
      <w:r>
        <w:rPr>
          <w:rFonts w:ascii="Trebuchet MS" w:hAnsi="Trebuchet MS"/>
          <w:color w:val="212121"/>
          <w:sz w:val="20"/>
          <w:szCs w:val="20"/>
        </w:rPr>
        <w:t>regolatorio</w:t>
      </w:r>
      <w:proofErr w:type="spellEnd"/>
      <w:r>
        <w:rPr>
          <w:rFonts w:ascii="Trebuchet MS" w:hAnsi="Trebuchet MS"/>
          <w:color w:val="212121"/>
          <w:sz w:val="20"/>
          <w:szCs w:val="20"/>
        </w:rPr>
        <w:t xml:space="preserve"> deve tenere in conto le specificità delle piccole e medie imprese. La conferma e l’estensione dello SME </w:t>
      </w:r>
      <w:proofErr w:type="spellStart"/>
      <w:r>
        <w:rPr>
          <w:rFonts w:ascii="Trebuchet MS" w:hAnsi="Trebuchet MS"/>
          <w:color w:val="212121"/>
          <w:sz w:val="20"/>
          <w:szCs w:val="20"/>
        </w:rPr>
        <w:t>Supporting</w:t>
      </w:r>
      <w:proofErr w:type="spellEnd"/>
      <w:r>
        <w:rPr>
          <w:rFonts w:ascii="Trebuchet MS" w:hAnsi="Trebuchet MS"/>
          <w:color w:val="212121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color w:val="212121"/>
          <w:sz w:val="20"/>
          <w:szCs w:val="20"/>
        </w:rPr>
        <w:t>Factor</w:t>
      </w:r>
      <w:proofErr w:type="spellEnd"/>
      <w:r>
        <w:rPr>
          <w:rFonts w:ascii="Trebuchet MS" w:hAnsi="Trebuchet MS"/>
          <w:color w:val="212121"/>
          <w:sz w:val="20"/>
          <w:szCs w:val="20"/>
        </w:rPr>
        <w:t xml:space="preserve"> sono un buon inizio. Va valorizzato il ruolo degli investitori istituzionali.</w:t>
      </w:r>
    </w:p>
    <w:p w:rsidR="003076E3" w:rsidRDefault="003076E3" w:rsidP="003076E3">
      <w:pPr>
        <w:pStyle w:val="xmsonormal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212121"/>
          <w:sz w:val="20"/>
          <w:szCs w:val="20"/>
        </w:rPr>
        <w:t>5.          </w:t>
      </w:r>
      <w:r>
        <w:rPr>
          <w:rFonts w:ascii="Trebuchet MS" w:hAnsi="Trebuchet MS"/>
          <w:color w:val="212121"/>
          <w:sz w:val="20"/>
          <w:szCs w:val="20"/>
          <w:u w:val="single"/>
        </w:rPr>
        <w:t>I nuovi scenari di rischio</w:t>
      </w:r>
      <w:r>
        <w:rPr>
          <w:rFonts w:ascii="Trebuchet MS" w:hAnsi="Trebuchet MS"/>
          <w:color w:val="212121"/>
          <w:sz w:val="20"/>
          <w:szCs w:val="20"/>
        </w:rPr>
        <w:t>. Come farvi fronte? Come gestire i cambiamenti climatici, i disastri naturali, l’invecchiamento della popolazione? E come puntare sulla “finanza verde”? Come rafforzare la resilienza, la resistenza e capacità di assorbire shock sistemici?</w:t>
      </w:r>
    </w:p>
    <w:p w:rsidR="003076E3" w:rsidRDefault="003076E3" w:rsidP="003076E3">
      <w:pPr>
        <w:pStyle w:val="xmsonormal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212121"/>
          <w:sz w:val="20"/>
          <w:szCs w:val="20"/>
        </w:rPr>
        <w:t>6.          I</w:t>
      </w:r>
      <w:r>
        <w:rPr>
          <w:rFonts w:ascii="Trebuchet MS" w:hAnsi="Trebuchet MS"/>
          <w:color w:val="212121"/>
          <w:sz w:val="20"/>
          <w:szCs w:val="20"/>
          <w:u w:val="single"/>
        </w:rPr>
        <w:t>l finanziamento dello sviluppo</w:t>
      </w:r>
      <w:r>
        <w:rPr>
          <w:rFonts w:ascii="Trebuchet MS" w:hAnsi="Trebuchet MS"/>
          <w:color w:val="212121"/>
          <w:sz w:val="20"/>
          <w:szCs w:val="20"/>
        </w:rPr>
        <w:t xml:space="preserve"> a partire dall’area euro-mediterranea. Il Mediterraneo è proiezione naturale dell’Europa e dell’Italia. Grazie all’impulso del nostro Paese col Migration Compact l’Unione sta proiettando il Piano </w:t>
      </w:r>
      <w:proofErr w:type="spellStart"/>
      <w:r>
        <w:rPr>
          <w:rFonts w:ascii="Trebuchet MS" w:hAnsi="Trebuchet MS"/>
          <w:color w:val="212121"/>
          <w:sz w:val="20"/>
          <w:szCs w:val="20"/>
        </w:rPr>
        <w:t>Juncker</w:t>
      </w:r>
      <w:proofErr w:type="spellEnd"/>
      <w:r>
        <w:rPr>
          <w:rFonts w:ascii="Trebuchet MS" w:hAnsi="Trebuchet MS"/>
          <w:color w:val="212121"/>
          <w:sz w:val="20"/>
          <w:szCs w:val="20"/>
        </w:rPr>
        <w:t xml:space="preserve"> in una dimensione pan-europea ed euro </w:t>
      </w:r>
      <w:proofErr w:type="gramStart"/>
      <w:r>
        <w:rPr>
          <w:rFonts w:ascii="Trebuchet MS" w:hAnsi="Trebuchet MS"/>
          <w:color w:val="212121"/>
          <w:sz w:val="20"/>
          <w:szCs w:val="20"/>
        </w:rPr>
        <w:t>mediterranea .</w:t>
      </w:r>
      <w:proofErr w:type="gramEnd"/>
      <w:r>
        <w:rPr>
          <w:rFonts w:ascii="Trebuchet MS" w:hAnsi="Trebuchet MS"/>
          <w:color w:val="212121"/>
          <w:sz w:val="20"/>
          <w:szCs w:val="20"/>
        </w:rPr>
        <w:t xml:space="preserve"> Basterà? E perché non pensare ad una banca di sviluppo del Mediterraneo per investimenti e infrastrutture nel modello di </w:t>
      </w:r>
      <w:proofErr w:type="spellStart"/>
      <w:r>
        <w:rPr>
          <w:rFonts w:ascii="Trebuchet MS" w:hAnsi="Trebuchet MS"/>
          <w:color w:val="212121"/>
          <w:sz w:val="20"/>
          <w:szCs w:val="20"/>
        </w:rPr>
        <w:t>Bers</w:t>
      </w:r>
      <w:proofErr w:type="spellEnd"/>
      <w:r>
        <w:rPr>
          <w:rFonts w:ascii="Trebuchet MS" w:hAnsi="Trebuchet MS"/>
          <w:color w:val="212121"/>
          <w:sz w:val="20"/>
          <w:szCs w:val="20"/>
        </w:rPr>
        <w:t xml:space="preserve"> e AIIB?</w:t>
      </w:r>
    </w:p>
    <w:p w:rsidR="003076E3" w:rsidRDefault="003076E3" w:rsidP="003076E3">
      <w:pPr>
        <w:pStyle w:val="xmsonormal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212121"/>
          <w:sz w:val="20"/>
          <w:szCs w:val="20"/>
        </w:rPr>
        <w:t>7.           </w:t>
      </w:r>
      <w:r>
        <w:rPr>
          <w:rFonts w:ascii="Trebuchet MS" w:hAnsi="Trebuchet MS"/>
          <w:color w:val="212121"/>
          <w:sz w:val="20"/>
          <w:szCs w:val="20"/>
          <w:u w:val="single"/>
        </w:rPr>
        <w:t>Ricostruire la fiducia dei cittadini</w:t>
      </w:r>
      <w:r>
        <w:rPr>
          <w:rFonts w:ascii="Trebuchet MS" w:hAnsi="Trebuchet MS"/>
          <w:color w:val="212121"/>
          <w:sz w:val="20"/>
          <w:szCs w:val="20"/>
        </w:rPr>
        <w:t>. Investimenti sostenibili e responsabili sono necessari, insieme ad un nuovo approccio alla solidarietà ed all’inclusione, dove società civile e mondo delle imprese sono protagoniste.   </w:t>
      </w:r>
    </w:p>
    <w:p w:rsidR="003076E3" w:rsidRDefault="003076E3" w:rsidP="003076E3">
      <w:pPr>
        <w:pStyle w:val="xmsonormal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212121"/>
          <w:sz w:val="20"/>
          <w:szCs w:val="20"/>
        </w:rPr>
        <w:t> </w:t>
      </w:r>
    </w:p>
    <w:p w:rsidR="003076E3" w:rsidRDefault="003076E3" w:rsidP="003076E3">
      <w:pPr>
        <w:pStyle w:val="NormaleWeb"/>
        <w:jc w:val="both"/>
        <w:rPr>
          <w:rFonts w:ascii="Trebuchet MS" w:hAnsi="Trebuchet MS"/>
          <w:color w:val="000000"/>
          <w:sz w:val="20"/>
          <w:szCs w:val="20"/>
        </w:rPr>
      </w:pPr>
    </w:p>
    <w:p w:rsidR="003076E3" w:rsidRDefault="003076E3" w:rsidP="003076E3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Su tutti questi temi si confronterà una significativa rappresentanza internazionale ed italiana delle istituzioni, dei regolatori, della business community. Attesi, tra gli altri, gli interventi del Vice presidente della Commissione Europea, </w:t>
      </w:r>
      <w:proofErr w:type="spellStart"/>
      <w:r>
        <w:rPr>
          <w:rFonts w:ascii="Trebuchet MS" w:hAnsi="Trebuchet MS"/>
          <w:sz w:val="20"/>
          <w:szCs w:val="20"/>
        </w:rPr>
        <w:t>Jyrki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Katainen</w:t>
      </w:r>
      <w:proofErr w:type="spellEnd"/>
      <w:r>
        <w:rPr>
          <w:rFonts w:ascii="Trebuchet MS" w:hAnsi="Trebuchet MS"/>
          <w:sz w:val="20"/>
          <w:szCs w:val="20"/>
        </w:rPr>
        <w:t xml:space="preserve">, del Ministro dell’Economia e delle Finanze, Pier Carlo </w:t>
      </w:r>
      <w:proofErr w:type="spellStart"/>
      <w:r>
        <w:rPr>
          <w:rFonts w:ascii="Trebuchet MS" w:hAnsi="Trebuchet MS"/>
          <w:sz w:val="20"/>
          <w:szCs w:val="20"/>
        </w:rPr>
        <w:t>Padoan</w:t>
      </w:r>
      <w:proofErr w:type="spellEnd"/>
      <w:r>
        <w:rPr>
          <w:rFonts w:ascii="Trebuchet MS" w:hAnsi="Trebuchet MS"/>
          <w:sz w:val="20"/>
          <w:szCs w:val="20"/>
        </w:rPr>
        <w:t xml:space="preserve">, dei candidati italiani alla presidenza del Parlamento Europeo, Gianni Pittella e Antonio </w:t>
      </w:r>
      <w:proofErr w:type="spellStart"/>
      <w:r>
        <w:rPr>
          <w:rFonts w:ascii="Trebuchet MS" w:hAnsi="Trebuchet MS"/>
          <w:sz w:val="20"/>
          <w:szCs w:val="20"/>
        </w:rPr>
        <w:t>Tajani</w:t>
      </w:r>
      <w:proofErr w:type="spellEnd"/>
      <w:r>
        <w:rPr>
          <w:rFonts w:ascii="Trebuchet MS" w:hAnsi="Trebuchet MS"/>
          <w:sz w:val="20"/>
          <w:szCs w:val="20"/>
        </w:rPr>
        <w:t xml:space="preserve">. Apre i lavori domani mattina alle 9.30 il Presidente della FeBAF, Luigi Abete. </w:t>
      </w:r>
    </w:p>
    <w:p w:rsidR="003076E3" w:rsidRDefault="003076E3" w:rsidP="003076E3">
      <w:pPr>
        <w:jc w:val="both"/>
        <w:rPr>
          <w:rFonts w:ascii="Trebuchet MS" w:hAnsi="Trebuchet MS"/>
          <w:sz w:val="20"/>
          <w:szCs w:val="20"/>
        </w:rPr>
      </w:pPr>
    </w:p>
    <w:p w:rsidR="001F7606" w:rsidRDefault="001F7606"/>
    <w:p w:rsidR="00B822DF" w:rsidRDefault="00B822DF"/>
    <w:p w:rsidR="00B822DF" w:rsidRDefault="00B822DF"/>
    <w:p w:rsidR="00B822DF" w:rsidRDefault="00B822DF"/>
    <w:p w:rsidR="00B822DF" w:rsidRDefault="00B822DF">
      <w:r w:rsidRPr="00B822DF"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-894715" y="2866390"/>
            <wp:positionH relativeFrom="margin">
              <wp:align>center</wp:align>
            </wp:positionH>
            <wp:positionV relativeFrom="margin">
              <wp:align>top</wp:align>
            </wp:positionV>
            <wp:extent cx="8613775" cy="5358765"/>
            <wp:effectExtent l="8255" t="0" r="5080" b="5080"/>
            <wp:wrapSquare wrapText="bothSides"/>
            <wp:docPr id="2" name="Immagine 2" descr="C:\Users\f.giovagnoli\AppData\Local\Microsoft\Windows\INetCache\Content.Outlook\D6HFOOWD\dati pre-post cris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giovagnoli\AppData\Local\Microsoft\Windows\INetCache\Content.Outlook\D6HFOOWD\dati pre-post crisi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6" b="4829"/>
                    <a:stretch/>
                  </pic:blipFill>
                  <pic:spPr bwMode="auto">
                    <a:xfrm rot="16200000">
                      <a:off x="0" y="0"/>
                      <a:ext cx="8613775" cy="535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B822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6E3"/>
    <w:rsid w:val="001F7606"/>
    <w:rsid w:val="003076E3"/>
    <w:rsid w:val="007231F1"/>
    <w:rsid w:val="00883FE3"/>
    <w:rsid w:val="00B822DF"/>
    <w:rsid w:val="00F9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236840-FFC4-4A5B-9172-0A7AA731A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076E3"/>
    <w:pPr>
      <w:spacing w:after="0" w:line="240" w:lineRule="auto"/>
    </w:pPr>
    <w:rPr>
      <w:rFonts w:ascii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076E3"/>
    <w:rPr>
      <w:rFonts w:ascii="Times New Roman" w:hAnsi="Times New Roman"/>
      <w:sz w:val="24"/>
      <w:szCs w:val="24"/>
      <w:lang w:eastAsia="it-IT"/>
    </w:rPr>
  </w:style>
  <w:style w:type="paragraph" w:customStyle="1" w:styleId="xmsonormal">
    <w:name w:val="xmsonormal"/>
    <w:basedOn w:val="Normale"/>
    <w:uiPriority w:val="99"/>
    <w:semiHidden/>
    <w:rsid w:val="003076E3"/>
    <w:rPr>
      <w:rFonts w:ascii="Times New Roman" w:hAnsi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22D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22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0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cid:image001.png@01D256F8.0F2D226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Giovagnoli Flaminia</dc:creator>
  <cp:keywords/>
  <dc:description/>
  <cp:lastModifiedBy>Lofranco Elia</cp:lastModifiedBy>
  <cp:revision>5</cp:revision>
  <cp:lastPrinted>2016-12-15T18:10:00Z</cp:lastPrinted>
  <dcterms:created xsi:type="dcterms:W3CDTF">2016-12-15T16:41:00Z</dcterms:created>
  <dcterms:modified xsi:type="dcterms:W3CDTF">2016-12-15T20:10:00Z</dcterms:modified>
</cp:coreProperties>
</file>